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3BCF" w14:textId="04AB5BE7" w:rsidR="0031610B" w:rsidRPr="00850C50" w:rsidRDefault="00106F8B" w:rsidP="0031610B">
      <w:pPr>
        <w:rPr>
          <w:b/>
          <w:bCs/>
          <w:color w:val="2F5496" w:themeColor="accent1" w:themeShade="BF"/>
          <w:sz w:val="36"/>
          <w:szCs w:val="36"/>
          <w:lang w:val="fr-FR"/>
        </w:rPr>
      </w:pPr>
      <w:r>
        <w:rPr>
          <w:b/>
          <w:bCs/>
          <w:color w:val="2F5496" w:themeColor="accent1" w:themeShade="BF"/>
          <w:sz w:val="36"/>
          <w:szCs w:val="36"/>
          <w:lang w:val="fr-FR"/>
        </w:rPr>
        <w:t>Pièce C :</w:t>
      </w:r>
      <w:r w:rsidR="00A26C5B">
        <w:rPr>
          <w:b/>
          <w:bCs/>
          <w:color w:val="2F5496" w:themeColor="accent1" w:themeShade="BF"/>
          <w:sz w:val="36"/>
          <w:szCs w:val="36"/>
          <w:lang w:val="fr-FR"/>
        </w:rPr>
        <w:t xml:space="preserve">  </w:t>
      </w:r>
      <w:r w:rsidR="00850C50" w:rsidRPr="00850C50">
        <w:rPr>
          <w:b/>
          <w:bCs/>
          <w:color w:val="2F5496" w:themeColor="accent1" w:themeShade="BF"/>
          <w:sz w:val="36"/>
          <w:szCs w:val="36"/>
          <w:lang w:val="fr-FR"/>
        </w:rPr>
        <w:t>Tableau des indicateurs</w:t>
      </w:r>
      <w:r>
        <w:rPr>
          <w:b/>
          <w:bCs/>
          <w:color w:val="2F5496" w:themeColor="accent1" w:themeShade="BF"/>
          <w:sz w:val="36"/>
          <w:szCs w:val="36"/>
          <w:lang w:val="fr-FR"/>
        </w:rPr>
        <w:t xml:space="preserve"> P</w:t>
      </w:r>
      <w:r w:rsidR="00850C50" w:rsidRPr="00850C50">
        <w:rPr>
          <w:b/>
          <w:bCs/>
          <w:color w:val="2F5496" w:themeColor="accent1" w:themeShade="BF"/>
          <w:sz w:val="36"/>
          <w:szCs w:val="36"/>
          <w:lang w:val="fr-FR"/>
        </w:rPr>
        <w:t>erformance PRO-Cashew</w:t>
      </w:r>
    </w:p>
    <w:tbl>
      <w:tblPr>
        <w:tblW w:w="10800" w:type="dxa"/>
        <w:tblInd w:w="-725" w:type="dxa"/>
        <w:tblLayout w:type="fixed"/>
        <w:tblLook w:val="04A0" w:firstRow="1" w:lastRow="0" w:firstColumn="1" w:lastColumn="0" w:noHBand="0" w:noVBand="1"/>
      </w:tblPr>
      <w:tblGrid>
        <w:gridCol w:w="3875"/>
        <w:gridCol w:w="6925"/>
      </w:tblGrid>
      <w:tr w:rsidR="0031610B" w:rsidRPr="0031610B" w14:paraId="1EB51CD5" w14:textId="77777777" w:rsidTr="0031610B">
        <w:trPr>
          <w:trHeight w:val="547"/>
        </w:trPr>
        <w:tc>
          <w:tcPr>
            <w:tcW w:w="3875" w:type="dxa"/>
            <w:tcBorders>
              <w:top w:val="nil"/>
              <w:left w:val="single" w:sz="4" w:space="0" w:color="auto"/>
              <w:bottom w:val="single" w:sz="4" w:space="0" w:color="auto"/>
              <w:right w:val="single" w:sz="4" w:space="0" w:color="auto"/>
            </w:tcBorders>
            <w:shd w:val="clear" w:color="auto" w:fill="2F5496" w:themeFill="accent1" w:themeFillShade="BF"/>
            <w:vAlign w:val="bottom"/>
          </w:tcPr>
          <w:p w14:paraId="694A7C73" w14:textId="2AAD110F" w:rsidR="0031610B" w:rsidRPr="0031610B" w:rsidRDefault="00850C50" w:rsidP="0031610B">
            <w:pPr>
              <w:pBdr>
                <w:top w:val="nil"/>
                <w:left w:val="nil"/>
                <w:bottom w:val="nil"/>
                <w:right w:val="nil"/>
                <w:between w:val="nil"/>
              </w:pBdr>
              <w:jc w:val="center"/>
              <w:rPr>
                <w:rFonts w:cstheme="minorHAnsi"/>
                <w:b/>
                <w:bCs/>
                <w:color w:val="FFFFFF" w:themeColor="background1"/>
                <w:sz w:val="28"/>
                <w:szCs w:val="28"/>
              </w:rPr>
            </w:pPr>
            <w:bookmarkStart w:id="0" w:name="_Hlk42517907"/>
            <w:r>
              <w:rPr>
                <w:rFonts w:cstheme="minorHAnsi"/>
                <w:b/>
                <w:bCs/>
                <w:color w:val="FFFFFF" w:themeColor="background1"/>
                <w:sz w:val="28"/>
                <w:szCs w:val="28"/>
              </w:rPr>
              <w:t>Indicateur de performance</w:t>
            </w:r>
          </w:p>
        </w:tc>
        <w:tc>
          <w:tcPr>
            <w:tcW w:w="6925" w:type="dxa"/>
            <w:tcBorders>
              <w:top w:val="nil"/>
              <w:left w:val="nil"/>
              <w:bottom w:val="single" w:sz="4" w:space="0" w:color="auto"/>
              <w:right w:val="single" w:sz="4" w:space="0" w:color="auto"/>
            </w:tcBorders>
            <w:shd w:val="clear" w:color="auto" w:fill="2F5496" w:themeFill="accent1" w:themeFillShade="BF"/>
            <w:noWrap/>
          </w:tcPr>
          <w:p w14:paraId="69954641" w14:textId="20387EE8" w:rsidR="0031610B" w:rsidRPr="0031610B" w:rsidRDefault="0031610B" w:rsidP="00850C50">
            <w:pPr>
              <w:pBdr>
                <w:top w:val="nil"/>
                <w:left w:val="nil"/>
                <w:bottom w:val="nil"/>
                <w:right w:val="nil"/>
                <w:between w:val="nil"/>
              </w:pBdr>
              <w:jc w:val="center"/>
              <w:rPr>
                <w:rFonts w:cstheme="minorHAnsi"/>
                <w:b/>
                <w:bCs/>
                <w:color w:val="FFFFFF" w:themeColor="background1"/>
                <w:sz w:val="28"/>
                <w:szCs w:val="28"/>
              </w:rPr>
            </w:pPr>
            <w:r w:rsidRPr="0031610B">
              <w:rPr>
                <w:rFonts w:cstheme="minorHAnsi"/>
                <w:b/>
                <w:bCs/>
                <w:color w:val="FFFFFF" w:themeColor="background1"/>
                <w:sz w:val="28"/>
                <w:szCs w:val="28"/>
              </w:rPr>
              <w:t>D</w:t>
            </w:r>
            <w:r w:rsidR="00850C50">
              <w:rPr>
                <w:rFonts w:cstheme="minorHAnsi"/>
                <w:b/>
                <w:bCs/>
                <w:color w:val="FFFFFF" w:themeColor="background1"/>
                <w:sz w:val="28"/>
                <w:szCs w:val="28"/>
              </w:rPr>
              <w:t>é</w:t>
            </w:r>
            <w:r w:rsidRPr="0031610B">
              <w:rPr>
                <w:rFonts w:cstheme="minorHAnsi"/>
                <w:b/>
                <w:bCs/>
                <w:color w:val="FFFFFF" w:themeColor="background1"/>
                <w:sz w:val="28"/>
                <w:szCs w:val="28"/>
              </w:rPr>
              <w:t>finition</w:t>
            </w:r>
          </w:p>
        </w:tc>
      </w:tr>
      <w:tr w:rsidR="0031610B" w:rsidRPr="00106F8B" w14:paraId="09DA4BE0" w14:textId="77777777" w:rsidTr="0031610B">
        <w:trPr>
          <w:trHeight w:val="547"/>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199417E5" w14:textId="596A3E96" w:rsidR="00F95150" w:rsidRPr="00112C48" w:rsidRDefault="00F95150" w:rsidP="00F95150">
            <w:pPr>
              <w:pBdr>
                <w:top w:val="nil"/>
                <w:left w:val="nil"/>
                <w:bottom w:val="nil"/>
                <w:right w:val="nil"/>
                <w:between w:val="nil"/>
              </w:pBdr>
              <w:jc w:val="both"/>
              <w:rPr>
                <w:rFonts w:cstheme="minorHAnsi"/>
                <w:lang w:val="fr-FR"/>
              </w:rPr>
            </w:pPr>
            <w:r w:rsidRPr="00112C48">
              <w:rPr>
                <w:rFonts w:cstheme="minorHAnsi"/>
                <w:lang w:val="fr-FR"/>
              </w:rPr>
              <w:t>Rendement des produits agricoles ciblés (anacardiers) parmi les participants au programme avec l'aide de l'USDA (TM / ha)</w:t>
            </w:r>
          </w:p>
        </w:tc>
        <w:tc>
          <w:tcPr>
            <w:tcW w:w="6925" w:type="dxa"/>
            <w:tcBorders>
              <w:top w:val="nil"/>
              <w:left w:val="nil"/>
              <w:bottom w:val="single" w:sz="4" w:space="0" w:color="auto"/>
              <w:right w:val="single" w:sz="4" w:space="0" w:color="auto"/>
            </w:tcBorders>
            <w:shd w:val="clear" w:color="auto" w:fill="auto"/>
            <w:noWrap/>
          </w:tcPr>
          <w:p w14:paraId="616564D6" w14:textId="4114F235" w:rsidR="00BD5D1F" w:rsidRPr="00112C48" w:rsidRDefault="00BD5D1F" w:rsidP="00F73690">
            <w:pPr>
              <w:pBdr>
                <w:top w:val="nil"/>
                <w:left w:val="nil"/>
                <w:bottom w:val="nil"/>
                <w:right w:val="nil"/>
                <w:between w:val="nil"/>
              </w:pBdr>
              <w:rPr>
                <w:rFonts w:cstheme="minorHAnsi"/>
                <w:lang w:val="fr-FR"/>
              </w:rPr>
            </w:pPr>
            <w:r w:rsidRPr="00112C48">
              <w:rPr>
                <w:rFonts w:cstheme="minorHAnsi"/>
                <w:lang w:val="fr-FR"/>
              </w:rPr>
              <w:t>Le rendement des noix de cajou parmi les producteurs grâce à l'assistance technique de PRO-Cashew. Le rendement mesure la récolte totale de noix de cajou divisée par le nombre total d'hectares de noix de cajou plantées</w:t>
            </w:r>
          </w:p>
        </w:tc>
      </w:tr>
      <w:tr w:rsidR="0031610B" w:rsidRPr="00106F8B" w14:paraId="09CF42C5" w14:textId="77777777" w:rsidTr="0031610B">
        <w:trPr>
          <w:trHeight w:val="568"/>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169D7398" w14:textId="70E69F57" w:rsidR="00F95150" w:rsidRPr="00112C48" w:rsidRDefault="00F95150" w:rsidP="00F73690">
            <w:pPr>
              <w:pBdr>
                <w:top w:val="nil"/>
                <w:left w:val="nil"/>
                <w:bottom w:val="nil"/>
                <w:right w:val="nil"/>
                <w:between w:val="nil"/>
              </w:pBdr>
              <w:jc w:val="both"/>
              <w:rPr>
                <w:rFonts w:cstheme="minorHAnsi"/>
                <w:lang w:val="fr-FR"/>
              </w:rPr>
            </w:pPr>
            <w:r w:rsidRPr="00112C48">
              <w:rPr>
                <w:rFonts w:cstheme="minorHAnsi"/>
                <w:lang w:val="fr-FR"/>
              </w:rPr>
              <w:t>Valeur des ventes annuelles des exploitations agricoles et des entreprises bénéficiant d'une aide de l'USDA (USD)</w:t>
            </w:r>
          </w:p>
        </w:tc>
        <w:tc>
          <w:tcPr>
            <w:tcW w:w="6925" w:type="dxa"/>
            <w:tcBorders>
              <w:top w:val="nil"/>
              <w:left w:val="nil"/>
              <w:bottom w:val="single" w:sz="4" w:space="0" w:color="auto"/>
              <w:right w:val="single" w:sz="4" w:space="0" w:color="auto"/>
            </w:tcBorders>
            <w:shd w:val="clear" w:color="auto" w:fill="auto"/>
            <w:noWrap/>
          </w:tcPr>
          <w:p w14:paraId="31684FEF" w14:textId="41269833" w:rsidR="00BD5D1F" w:rsidRPr="00112C48" w:rsidRDefault="00BD5D1F" w:rsidP="00BD5D1F">
            <w:pPr>
              <w:pBdr>
                <w:top w:val="nil"/>
                <w:left w:val="nil"/>
                <w:bottom w:val="nil"/>
                <w:right w:val="nil"/>
                <w:between w:val="nil"/>
              </w:pBdr>
              <w:rPr>
                <w:rFonts w:cstheme="minorHAnsi"/>
                <w:lang w:val="fr-FR"/>
              </w:rPr>
            </w:pPr>
            <w:r w:rsidRPr="00112C48">
              <w:rPr>
                <w:rFonts w:cstheme="minorHAnsi"/>
                <w:lang w:val="fr-FR"/>
              </w:rPr>
              <w:t xml:space="preserve">Cet indicateur mesure la valeur en Dollars </w:t>
            </w:r>
            <w:r w:rsidR="007A2076" w:rsidRPr="00112C48">
              <w:rPr>
                <w:rFonts w:cstheme="minorHAnsi"/>
                <w:lang w:val="fr-FR"/>
              </w:rPr>
              <w:t>Américains</w:t>
            </w:r>
            <w:r w:rsidRPr="00112C48">
              <w:rPr>
                <w:rFonts w:cstheme="minorHAnsi"/>
                <w:lang w:val="fr-FR"/>
              </w:rPr>
              <w:t xml:space="preserve">  du montant total des ventes de produits et services par les exploitations et les entreprises bénéficiant de l'aide de l'USDA au cours de l'année de référence au sein des chaînes de valeur ou des marchés de produits agricoles soutenus par l'USDA. Les ventes annuelles comprennent toutes les ventes des fermes et des entreprises vendant des noix de cajou participant à PRO-Cashew.</w:t>
            </w:r>
          </w:p>
        </w:tc>
      </w:tr>
      <w:tr w:rsidR="0031610B" w:rsidRPr="00106F8B" w14:paraId="4006E6C2" w14:textId="77777777" w:rsidTr="0031610B">
        <w:trPr>
          <w:trHeight w:val="562"/>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74B5828E" w14:textId="5C7A9B7C" w:rsidR="00F95150" w:rsidRPr="00112C48" w:rsidRDefault="00F95150" w:rsidP="00F95150">
            <w:pPr>
              <w:pBdr>
                <w:top w:val="nil"/>
                <w:left w:val="nil"/>
                <w:bottom w:val="nil"/>
                <w:right w:val="nil"/>
                <w:between w:val="nil"/>
              </w:pBdr>
              <w:rPr>
                <w:rFonts w:cstheme="minorHAnsi"/>
                <w:lang w:val="fr-FR"/>
              </w:rPr>
            </w:pPr>
            <w:r w:rsidRPr="00112C48">
              <w:rPr>
                <w:rFonts w:cstheme="minorHAnsi"/>
                <w:lang w:val="fr-FR"/>
              </w:rPr>
              <w:t xml:space="preserve">Volume </w:t>
            </w:r>
            <w:r w:rsidR="00477B1D" w:rsidRPr="00112C48">
              <w:rPr>
                <w:rFonts w:cstheme="minorHAnsi"/>
                <w:lang w:val="fr-FR"/>
              </w:rPr>
              <w:t>Noix de Cajou Brutes</w:t>
            </w:r>
            <w:r w:rsidRPr="00112C48">
              <w:rPr>
                <w:rFonts w:cstheme="minorHAnsi"/>
                <w:lang w:val="fr-FR"/>
              </w:rPr>
              <w:t xml:space="preserve"> vendu par les exploitations agricoles et les entreprises recevant une aide de l'USDA (MT), ventilé par KOR et par acheteurs (le bénéficiaire et d'autres)</w:t>
            </w:r>
          </w:p>
          <w:p w14:paraId="6F4122DB" w14:textId="081447DD" w:rsidR="00F95150" w:rsidRPr="00112C48" w:rsidRDefault="00F95150" w:rsidP="00F95150">
            <w:pPr>
              <w:pBdr>
                <w:top w:val="nil"/>
                <w:left w:val="nil"/>
                <w:bottom w:val="nil"/>
                <w:right w:val="nil"/>
                <w:between w:val="nil"/>
              </w:pBdr>
              <w:rPr>
                <w:rFonts w:cstheme="minorHAnsi"/>
                <w:lang w:val="fr-FR"/>
              </w:rPr>
            </w:pPr>
          </w:p>
        </w:tc>
        <w:tc>
          <w:tcPr>
            <w:tcW w:w="6925" w:type="dxa"/>
            <w:tcBorders>
              <w:top w:val="nil"/>
              <w:left w:val="nil"/>
              <w:bottom w:val="single" w:sz="4" w:space="0" w:color="auto"/>
              <w:right w:val="single" w:sz="4" w:space="0" w:color="auto"/>
            </w:tcBorders>
            <w:shd w:val="clear" w:color="auto" w:fill="auto"/>
            <w:noWrap/>
          </w:tcPr>
          <w:p w14:paraId="271B1306" w14:textId="35223784" w:rsidR="00D60A40" w:rsidRPr="00112C48" w:rsidRDefault="00D60A40" w:rsidP="00F73690">
            <w:pPr>
              <w:rPr>
                <w:rFonts w:cstheme="minorHAnsi"/>
                <w:lang w:val="fr-FR"/>
              </w:rPr>
            </w:pPr>
            <w:r w:rsidRPr="00112C48">
              <w:rPr>
                <w:rFonts w:cstheme="minorHAnsi"/>
                <w:lang w:val="fr-FR"/>
              </w:rPr>
              <w:t>Cet indicateur collectera le volume (calculé en tonnes métriques brutes (MT)) des ventes de noix de cajou ciblées par les exploitations agricoles et les entreprises bénéficiant d'une aide de l'USDA. Cela comprend le volume de toutes les ventes de noix de cajou, et pas seulement le volume des ventes bord-champ. Le nombre réel déclaré pour l'indicateur sera le volume brut des ventes de noix de cajou par les participants au projet au cours de la période considérée. Ne comptez que le volume brut des ventes au cours de la période considérée attribuable à l'investissement de l'USDA.</w:t>
            </w:r>
          </w:p>
          <w:p w14:paraId="13806748" w14:textId="77777777" w:rsidR="0031610B" w:rsidRPr="00112C48" w:rsidRDefault="0031610B" w:rsidP="00F73690">
            <w:pPr>
              <w:pBdr>
                <w:top w:val="nil"/>
                <w:left w:val="nil"/>
                <w:bottom w:val="nil"/>
                <w:right w:val="nil"/>
                <w:between w:val="nil"/>
              </w:pBdr>
              <w:rPr>
                <w:rFonts w:cstheme="minorHAnsi"/>
                <w:lang w:val="fr-FR"/>
              </w:rPr>
            </w:pPr>
          </w:p>
        </w:tc>
      </w:tr>
      <w:tr w:rsidR="0031610B" w:rsidRPr="00A172EC" w14:paraId="1D1C60BC" w14:textId="77777777" w:rsidTr="0031610B">
        <w:trPr>
          <w:trHeight w:val="557"/>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2AFE76CE" w14:textId="295B4AF9" w:rsidR="0031610B" w:rsidRPr="00112C48" w:rsidRDefault="00F95150" w:rsidP="0031610B">
            <w:pPr>
              <w:pBdr>
                <w:top w:val="nil"/>
                <w:left w:val="nil"/>
                <w:bottom w:val="nil"/>
                <w:right w:val="nil"/>
                <w:between w:val="nil"/>
              </w:pBdr>
              <w:rPr>
                <w:rFonts w:cstheme="minorHAnsi"/>
                <w:lang w:val="fr-FR"/>
              </w:rPr>
            </w:pPr>
            <w:r w:rsidRPr="00112C48">
              <w:rPr>
                <w:rFonts w:cstheme="minorHAnsi"/>
                <w:lang w:val="fr-FR"/>
              </w:rPr>
              <w:t>Nombre de personnes qui ont reçu une formation à court terme sur la productivité du secteur agricole ou la sécurité alimentaire grâce à l'aide de l'USDA</w:t>
            </w:r>
          </w:p>
        </w:tc>
        <w:tc>
          <w:tcPr>
            <w:tcW w:w="6925" w:type="dxa"/>
            <w:tcBorders>
              <w:top w:val="nil"/>
              <w:left w:val="nil"/>
              <w:bottom w:val="single" w:sz="4" w:space="0" w:color="auto"/>
              <w:right w:val="single" w:sz="4" w:space="0" w:color="auto"/>
            </w:tcBorders>
            <w:shd w:val="clear" w:color="auto" w:fill="auto"/>
            <w:noWrap/>
          </w:tcPr>
          <w:p w14:paraId="0BAFDA72" w14:textId="77777777" w:rsidR="00D60A40" w:rsidRPr="00112C48" w:rsidRDefault="00D60A40" w:rsidP="00D60A40">
            <w:pPr>
              <w:pBdr>
                <w:top w:val="nil"/>
                <w:left w:val="nil"/>
                <w:bottom w:val="nil"/>
                <w:right w:val="nil"/>
                <w:between w:val="nil"/>
              </w:pBdr>
              <w:rPr>
                <w:rFonts w:cstheme="minorHAnsi"/>
                <w:lang w:val="fr-FR"/>
              </w:rPr>
            </w:pPr>
          </w:p>
          <w:p w14:paraId="7F2081B1" w14:textId="67ACE990" w:rsidR="00D60A40" w:rsidRPr="00112C48" w:rsidRDefault="00D60A40" w:rsidP="00A172EC">
            <w:pPr>
              <w:pBdr>
                <w:top w:val="nil"/>
                <w:left w:val="nil"/>
                <w:bottom w:val="nil"/>
                <w:right w:val="nil"/>
                <w:between w:val="nil"/>
              </w:pBdr>
              <w:rPr>
                <w:rFonts w:cstheme="minorHAnsi"/>
                <w:lang w:val="fr-FR"/>
              </w:rPr>
            </w:pPr>
            <w:r w:rsidRPr="00112C48">
              <w:rPr>
                <w:rFonts w:cstheme="minorHAnsi"/>
                <w:lang w:val="fr-FR"/>
              </w:rPr>
              <w:t>Le nombre de producteurs, de prestataires de services, d'agents de vulgarisation, de transformateurs, de commerçants et d'exportateurs auxquels des connaissances ou des compétences importantes ont été transmises par le biais d'interactions intentionnelles, structurées et destinées à transmettre des connaissances ou des compétences doi</w:t>
            </w:r>
            <w:r w:rsidR="00A172EC" w:rsidRPr="00112C48">
              <w:rPr>
                <w:rFonts w:cstheme="minorHAnsi"/>
                <w:lang w:val="fr-FR"/>
              </w:rPr>
              <w:t>ven</w:t>
            </w:r>
            <w:r w:rsidRPr="00112C48">
              <w:rPr>
                <w:rFonts w:cstheme="minorHAnsi"/>
                <w:lang w:val="fr-FR"/>
              </w:rPr>
              <w:t>t être compté</w:t>
            </w:r>
            <w:r w:rsidR="00A172EC" w:rsidRPr="00112C48">
              <w:rPr>
                <w:rFonts w:cstheme="minorHAnsi"/>
                <w:lang w:val="fr-FR"/>
              </w:rPr>
              <w:t xml:space="preserve">s </w:t>
            </w:r>
            <w:r w:rsidRPr="00112C48">
              <w:rPr>
                <w:rFonts w:cstheme="minorHAnsi"/>
                <w:lang w:val="fr-FR"/>
              </w:rPr>
              <w:t xml:space="preserve"> comme </w:t>
            </w:r>
            <w:r w:rsidR="00A172EC" w:rsidRPr="00112C48">
              <w:rPr>
                <w:rFonts w:cstheme="minorHAnsi"/>
                <w:lang w:val="fr-FR"/>
              </w:rPr>
              <w:t>ayant reçu des enseignements</w:t>
            </w:r>
            <w:r w:rsidRPr="00112C48">
              <w:rPr>
                <w:rFonts w:cstheme="minorHAnsi"/>
                <w:lang w:val="fr-FR"/>
              </w:rPr>
              <w:t xml:space="preserve">, par le biais d'une </w:t>
            </w:r>
            <w:r w:rsidR="00A172EC" w:rsidRPr="00112C48">
              <w:rPr>
                <w:rFonts w:cstheme="minorHAnsi"/>
                <w:lang w:val="fr-FR"/>
              </w:rPr>
              <w:t xml:space="preserve">formation formelle </w:t>
            </w:r>
            <w:r w:rsidRPr="00112C48">
              <w:rPr>
                <w:rFonts w:cstheme="minorHAnsi"/>
                <w:lang w:val="fr-FR"/>
              </w:rPr>
              <w:t>ou des moyens informels. Cela comprend le renforcement des capacités grâce à des subventions; Formations en R&amp;R, gestion des vergers et manutention après récolte; et le renforcement des capacités de prestation de services. Les individus ne sont comptés qu'une seule fois, quel que soit le nombre de formations reçues au cours de l'année considérée et si les formations ont couvert différents sujets. Cela n</w:t>
            </w:r>
            <w:r w:rsidR="00A172EC" w:rsidRPr="00112C48">
              <w:rPr>
                <w:rFonts w:cstheme="minorHAnsi"/>
                <w:lang w:val="fr-FR"/>
              </w:rPr>
              <w:t xml:space="preserve">’inclut </w:t>
            </w:r>
            <w:r w:rsidRPr="00112C48">
              <w:rPr>
                <w:rFonts w:cstheme="minorHAnsi"/>
                <w:lang w:val="fr-FR"/>
              </w:rPr>
              <w:t xml:space="preserve">pas les réunions de sensibilisation ou les réunions d'information ponctuelles. Le court terme comprend toutes les formations </w:t>
            </w:r>
            <w:r w:rsidR="00A172EC" w:rsidRPr="00112C48">
              <w:rPr>
                <w:rFonts w:cstheme="minorHAnsi"/>
                <w:lang w:val="fr-FR"/>
              </w:rPr>
              <w:t>non-</w:t>
            </w:r>
            <w:r w:rsidR="00477B1D" w:rsidRPr="00112C48">
              <w:rPr>
                <w:rFonts w:cstheme="minorHAnsi"/>
                <w:lang w:val="fr-FR"/>
              </w:rPr>
              <w:t>diplômantes</w:t>
            </w:r>
            <w:r w:rsidR="00A172EC" w:rsidRPr="00112C48">
              <w:rPr>
                <w:rFonts w:cstheme="minorHAnsi"/>
                <w:lang w:val="fr-FR"/>
              </w:rPr>
              <w:t>.</w:t>
            </w:r>
          </w:p>
        </w:tc>
      </w:tr>
      <w:tr w:rsidR="0031610B" w:rsidRPr="00106F8B" w14:paraId="07503167" w14:textId="77777777" w:rsidTr="0031610B">
        <w:trPr>
          <w:trHeight w:val="566"/>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201E67A1" w14:textId="77777777" w:rsidR="00052B5F" w:rsidRPr="00112C48" w:rsidRDefault="00052B5F" w:rsidP="00052B5F">
            <w:pPr>
              <w:pBdr>
                <w:top w:val="nil"/>
                <w:left w:val="nil"/>
                <w:bottom w:val="nil"/>
                <w:right w:val="nil"/>
                <w:between w:val="nil"/>
              </w:pBdr>
              <w:rPr>
                <w:rFonts w:cstheme="minorHAnsi"/>
                <w:lang w:val="fr-FR"/>
              </w:rPr>
            </w:pPr>
            <w:bookmarkStart w:id="1" w:name="_Hlk21540258"/>
          </w:p>
          <w:p w14:paraId="497A5777" w14:textId="77777777" w:rsidR="00052B5F" w:rsidRPr="00112C48" w:rsidRDefault="00052B5F" w:rsidP="00052B5F">
            <w:pPr>
              <w:pBdr>
                <w:top w:val="nil"/>
                <w:left w:val="nil"/>
                <w:bottom w:val="nil"/>
                <w:right w:val="nil"/>
                <w:between w:val="nil"/>
              </w:pBdr>
              <w:rPr>
                <w:rFonts w:cstheme="minorHAnsi"/>
                <w:lang w:val="fr-FR"/>
              </w:rPr>
            </w:pPr>
            <w:r w:rsidRPr="00112C48">
              <w:rPr>
                <w:rFonts w:cstheme="minorHAnsi"/>
                <w:lang w:val="fr-FR"/>
              </w:rPr>
              <w:lastRenderedPageBreak/>
              <w:t>Nombre d'hectares bénéficiant de pratiques ou de technologies de gestion améliorées avec l'aide de l'USDA</w:t>
            </w:r>
          </w:p>
          <w:p w14:paraId="64B7C278" w14:textId="76D0E0BA" w:rsidR="00052B5F" w:rsidRPr="00112C48" w:rsidRDefault="00052B5F" w:rsidP="00052B5F">
            <w:pPr>
              <w:pBdr>
                <w:top w:val="nil"/>
                <w:left w:val="nil"/>
                <w:bottom w:val="nil"/>
                <w:right w:val="nil"/>
                <w:between w:val="nil"/>
              </w:pBdr>
              <w:rPr>
                <w:rFonts w:cstheme="minorHAnsi"/>
                <w:lang w:val="fr-FR"/>
              </w:rPr>
            </w:pPr>
          </w:p>
        </w:tc>
        <w:tc>
          <w:tcPr>
            <w:tcW w:w="6925" w:type="dxa"/>
            <w:tcBorders>
              <w:top w:val="nil"/>
              <w:left w:val="nil"/>
              <w:bottom w:val="single" w:sz="4" w:space="0" w:color="auto"/>
              <w:right w:val="single" w:sz="4" w:space="0" w:color="auto"/>
            </w:tcBorders>
            <w:shd w:val="clear" w:color="auto" w:fill="auto"/>
            <w:noWrap/>
          </w:tcPr>
          <w:p w14:paraId="78AC5BF1" w14:textId="7A5B578D" w:rsidR="00A172EC" w:rsidRPr="00112C48" w:rsidRDefault="00A172EC" w:rsidP="006601A0">
            <w:pPr>
              <w:pBdr>
                <w:top w:val="nil"/>
                <w:left w:val="nil"/>
                <w:bottom w:val="nil"/>
                <w:right w:val="nil"/>
                <w:between w:val="nil"/>
              </w:pBdr>
              <w:rPr>
                <w:rFonts w:cstheme="minorHAnsi"/>
                <w:lang w:val="fr-FR"/>
              </w:rPr>
            </w:pPr>
            <w:r w:rsidRPr="00112C48">
              <w:rPr>
                <w:rFonts w:cstheme="minorHAnsi"/>
                <w:lang w:val="fr-FR"/>
              </w:rPr>
              <w:lastRenderedPageBreak/>
              <w:t xml:space="preserve">Cet indicateur mesure la superficie en hectares où des pratiques de gestion promues par l'USDA ou des technologies améliorées qui réduisent </w:t>
            </w:r>
            <w:r w:rsidRPr="00112C48">
              <w:rPr>
                <w:rFonts w:cstheme="minorHAnsi"/>
                <w:lang w:val="fr-FR"/>
              </w:rPr>
              <w:lastRenderedPageBreak/>
              <w:t xml:space="preserve">les risques climatiques et améliorent la gestion des terres et des autres ressources naturelles ont été </w:t>
            </w:r>
            <w:r w:rsidR="006601A0" w:rsidRPr="00112C48">
              <w:rPr>
                <w:rFonts w:cstheme="minorHAnsi"/>
                <w:lang w:val="fr-FR"/>
              </w:rPr>
              <w:t>mises en œuvre</w:t>
            </w:r>
            <w:r w:rsidRPr="00112C48">
              <w:rPr>
                <w:rFonts w:cstheme="minorHAnsi"/>
                <w:lang w:val="fr-FR"/>
              </w:rPr>
              <w:t xml:space="preserve"> au cours de l'année de référence </w:t>
            </w:r>
            <w:r w:rsidR="006601A0" w:rsidRPr="00112C48">
              <w:rPr>
                <w:rFonts w:cstheme="minorHAnsi"/>
                <w:lang w:val="fr-FR"/>
              </w:rPr>
              <w:t>dans les</w:t>
            </w:r>
            <w:r w:rsidRPr="00112C48">
              <w:rPr>
                <w:rFonts w:cstheme="minorHAnsi"/>
                <w:lang w:val="fr-FR"/>
              </w:rPr>
              <w:t xml:space="preserve"> zones gérées ou cultivées par les producteurs participant à PRO-Cashew. Parmi les pratiques et technologies de gestion réduisant les risques climatiques figurent les meilleures pratiques agricoles (BPA), la R&amp;R, les semis hautement performants, le paillage, l'agriculture de conservation, les cultures intercalaires, l'agriculture biologique, les meilleurs engrais biologiques et les bio-ravageurs, les pratiques de gestion de l'IPM, les ruches sur les vergers, la conservation des sols et de l'eau, l'irrigation goutte à goutte, la ferti</w:t>
            </w:r>
            <w:r w:rsidR="00645C63">
              <w:rPr>
                <w:rFonts w:cstheme="minorHAnsi"/>
                <w:lang w:val="fr-FR"/>
              </w:rPr>
              <w:t>rri</w:t>
            </w:r>
            <w:r w:rsidRPr="00112C48">
              <w:rPr>
                <w:rFonts w:cstheme="minorHAnsi"/>
                <w:lang w:val="fr-FR"/>
              </w:rPr>
              <w:t>gation, etc.</w:t>
            </w:r>
          </w:p>
        </w:tc>
      </w:tr>
      <w:tr w:rsidR="0031610B" w:rsidRPr="00106F8B" w14:paraId="09AAF859" w14:textId="77777777" w:rsidTr="00052B5F">
        <w:trPr>
          <w:trHeight w:val="2015"/>
        </w:trPr>
        <w:tc>
          <w:tcPr>
            <w:tcW w:w="3875" w:type="dxa"/>
            <w:tcBorders>
              <w:top w:val="nil"/>
              <w:left w:val="single" w:sz="4" w:space="0" w:color="auto"/>
              <w:bottom w:val="single" w:sz="4" w:space="0" w:color="auto"/>
              <w:right w:val="single" w:sz="4" w:space="0" w:color="auto"/>
            </w:tcBorders>
            <w:shd w:val="clear" w:color="000000" w:fill="FFFFFF"/>
            <w:vAlign w:val="bottom"/>
          </w:tcPr>
          <w:p w14:paraId="2A83F1D8" w14:textId="6E3E8FF7" w:rsidR="0031610B" w:rsidRPr="00112C48" w:rsidRDefault="00052B5F" w:rsidP="00F73690">
            <w:pPr>
              <w:pBdr>
                <w:top w:val="nil"/>
                <w:left w:val="nil"/>
                <w:bottom w:val="nil"/>
                <w:right w:val="nil"/>
                <w:between w:val="nil"/>
              </w:pBdr>
              <w:rPr>
                <w:rFonts w:cstheme="minorHAnsi"/>
                <w:lang w:val="fr-FR"/>
              </w:rPr>
            </w:pPr>
            <w:r w:rsidRPr="00112C48">
              <w:rPr>
                <w:rFonts w:cstheme="minorHAnsi"/>
                <w:lang w:val="fr-FR"/>
              </w:rPr>
              <w:lastRenderedPageBreak/>
              <w:t>Nombre d'organisations ayant une connaissance accrue de la gestion agricole avec l'aide de l'USDA</w:t>
            </w:r>
          </w:p>
        </w:tc>
        <w:tc>
          <w:tcPr>
            <w:tcW w:w="6925" w:type="dxa"/>
            <w:tcBorders>
              <w:top w:val="nil"/>
              <w:left w:val="nil"/>
              <w:bottom w:val="single" w:sz="4" w:space="0" w:color="auto"/>
              <w:right w:val="single" w:sz="4" w:space="0" w:color="auto"/>
            </w:tcBorders>
            <w:shd w:val="clear" w:color="auto" w:fill="auto"/>
            <w:noWrap/>
          </w:tcPr>
          <w:p w14:paraId="1917B23A" w14:textId="7C5D568F" w:rsidR="006601A0" w:rsidRPr="00112C48" w:rsidRDefault="006601A0" w:rsidP="00F73690">
            <w:pPr>
              <w:rPr>
                <w:rFonts w:cstheme="minorHAnsi"/>
                <w:lang w:val="fr-FR"/>
              </w:rPr>
            </w:pPr>
            <w:r w:rsidRPr="00112C48">
              <w:rPr>
                <w:rFonts w:cstheme="minorHAnsi"/>
                <w:lang w:val="fr-FR"/>
              </w:rPr>
              <w:t>Cet indicateur compte le nombre ou les organisations d'agriculteurs et les entreprises agroalimentaires ayant une meilleure connaissance de la gestion agricole grâce aux subventions PRO-Cashew pour les services de vulgarisation et la résilience au climat. Une connaissance accrue de la gestion agricole comprend des connaissances sur les pratiques de R&amp;R, la production résiliente au climat et la traçabilité, entre autres. Les organisations seront initialement comptabilisées au cours de la période où elles signalent une connaissance accrue de la gestion agricole à la suite des interventions de PRO-Cashew.</w:t>
            </w:r>
          </w:p>
          <w:p w14:paraId="29ED6DAC" w14:textId="77777777" w:rsidR="00A172EC" w:rsidRPr="00112C48" w:rsidRDefault="00A172EC" w:rsidP="00F73690">
            <w:pPr>
              <w:rPr>
                <w:rFonts w:cstheme="minorHAnsi"/>
                <w:lang w:val="fr-FR"/>
              </w:rPr>
            </w:pPr>
          </w:p>
          <w:p w14:paraId="4789B9D5" w14:textId="77777777" w:rsidR="0031610B" w:rsidRPr="00112C48" w:rsidRDefault="0031610B" w:rsidP="00F73690">
            <w:pPr>
              <w:pBdr>
                <w:top w:val="nil"/>
                <w:left w:val="nil"/>
                <w:bottom w:val="nil"/>
                <w:right w:val="nil"/>
                <w:between w:val="nil"/>
              </w:pBdr>
              <w:jc w:val="center"/>
              <w:rPr>
                <w:rFonts w:cstheme="minorHAnsi"/>
                <w:lang w:val="fr-FR"/>
              </w:rPr>
            </w:pPr>
          </w:p>
        </w:tc>
      </w:tr>
      <w:bookmarkEnd w:id="1"/>
      <w:tr w:rsidR="0031610B" w:rsidRPr="00106F8B" w14:paraId="2A16F0B3" w14:textId="77777777" w:rsidTr="0031610B">
        <w:trPr>
          <w:trHeight w:val="546"/>
        </w:trPr>
        <w:tc>
          <w:tcPr>
            <w:tcW w:w="3875" w:type="dxa"/>
            <w:tcBorders>
              <w:top w:val="nil"/>
              <w:left w:val="single" w:sz="4" w:space="0" w:color="auto"/>
              <w:bottom w:val="single" w:sz="4" w:space="0" w:color="auto"/>
              <w:right w:val="single" w:sz="4" w:space="0" w:color="auto"/>
            </w:tcBorders>
            <w:shd w:val="clear" w:color="000000" w:fill="FFFFFF"/>
            <w:vAlign w:val="bottom"/>
          </w:tcPr>
          <w:p w14:paraId="50184891" w14:textId="39056BFB" w:rsidR="00052B5F" w:rsidRPr="00112C48" w:rsidRDefault="00052B5F" w:rsidP="00052B5F">
            <w:pPr>
              <w:pBdr>
                <w:top w:val="nil"/>
                <w:left w:val="nil"/>
                <w:bottom w:val="nil"/>
                <w:right w:val="nil"/>
                <w:between w:val="nil"/>
              </w:pBdr>
              <w:rPr>
                <w:rFonts w:cstheme="minorHAnsi"/>
                <w:lang w:val="fr-FR"/>
              </w:rPr>
            </w:pPr>
            <w:r w:rsidRPr="00112C48">
              <w:rPr>
                <w:rFonts w:cstheme="minorHAnsi"/>
                <w:lang w:val="fr-FR"/>
              </w:rPr>
              <w:t>Vale</w:t>
            </w:r>
            <w:r w:rsidR="00BD5D1F" w:rsidRPr="00112C48">
              <w:rPr>
                <w:rFonts w:cstheme="minorHAnsi"/>
                <w:lang w:val="fr-FR"/>
              </w:rPr>
              <w:t xml:space="preserve">ur des </w:t>
            </w:r>
            <w:r w:rsidRPr="00112C48">
              <w:rPr>
                <w:rFonts w:cstheme="minorHAnsi"/>
                <w:lang w:val="fr-FR"/>
              </w:rPr>
              <w:t>nouveaux engagements du Gouvernement Américain et des nouveaux investissements des secteurs public et privé mobilisés par l'USDA pour soutenir la sécurité alimentaire et la nutrition (USG)</w:t>
            </w:r>
          </w:p>
          <w:p w14:paraId="7F062B3F" w14:textId="2938FC5A" w:rsidR="00052B5F" w:rsidRPr="00112C48" w:rsidRDefault="00052B5F" w:rsidP="00052B5F">
            <w:pPr>
              <w:pBdr>
                <w:top w:val="nil"/>
                <w:left w:val="nil"/>
                <w:bottom w:val="nil"/>
                <w:right w:val="nil"/>
                <w:between w:val="nil"/>
              </w:pBdr>
              <w:rPr>
                <w:rFonts w:cstheme="minorHAnsi"/>
                <w:lang w:val="fr-FR"/>
              </w:rPr>
            </w:pPr>
          </w:p>
        </w:tc>
        <w:tc>
          <w:tcPr>
            <w:tcW w:w="6925" w:type="dxa"/>
            <w:tcBorders>
              <w:top w:val="nil"/>
              <w:left w:val="nil"/>
              <w:bottom w:val="single" w:sz="4" w:space="0" w:color="auto"/>
              <w:right w:val="single" w:sz="4" w:space="0" w:color="auto"/>
            </w:tcBorders>
            <w:shd w:val="clear" w:color="auto" w:fill="auto"/>
            <w:noWrap/>
          </w:tcPr>
          <w:p w14:paraId="0042C55D" w14:textId="77777777" w:rsidR="00996983" w:rsidRPr="00112C48" w:rsidRDefault="00996983" w:rsidP="00996983">
            <w:pPr>
              <w:rPr>
                <w:rFonts w:cstheme="minorHAnsi"/>
                <w:lang w:val="fr-FR"/>
              </w:rPr>
            </w:pPr>
            <w:r w:rsidRPr="00112C48">
              <w:rPr>
                <w:rFonts w:cstheme="minorHAnsi"/>
                <w:lang w:val="fr-FR"/>
              </w:rPr>
              <w:t>Celui-ci compte la valeur des investissements du secteur privé provenant des partenariats public-privé pour l'infrastructure des pépinières; extension de l'agriculture, résilience au changement climatique, équipement de service agricole et subventions de R&amp;R des vergers aux organisations d'agriculteurs, aux entreprises de produits agroalimentaires et aux prestataires de services agricoles soutenus par le renforcement des capacités; et les contributions à frais partagés.</w:t>
            </w:r>
          </w:p>
          <w:p w14:paraId="1C9A2D98" w14:textId="77777777" w:rsidR="00996983" w:rsidRPr="00112C48" w:rsidRDefault="00996983" w:rsidP="00996983">
            <w:pPr>
              <w:rPr>
                <w:rFonts w:cstheme="minorHAnsi"/>
                <w:lang w:val="fr-FR"/>
              </w:rPr>
            </w:pPr>
            <w:r w:rsidRPr="00112C48">
              <w:rPr>
                <w:rFonts w:cstheme="minorHAnsi"/>
                <w:lang w:val="fr-FR"/>
              </w:rPr>
              <w:t>L'investissement est défini comme toute utilisation des ressources du secteur public ou privé visant à accroitre la production ou les revenus futurs, à améliorer l'utilisation durable des ressources naturelles liées à l'agriculture (sol, eau, etc.), ou à améliorer la gestion de l'eau ou des terres tout le long le système d'alimentation humaine et animale, les fibres et la gestion des ressources naturelles.</w:t>
            </w:r>
          </w:p>
          <w:p w14:paraId="61D3EB85" w14:textId="77777777" w:rsidR="00996983" w:rsidRPr="00112C48" w:rsidRDefault="00996983" w:rsidP="00996983">
            <w:pPr>
              <w:rPr>
                <w:rFonts w:cstheme="minorHAnsi"/>
                <w:lang w:val="fr-FR"/>
              </w:rPr>
            </w:pPr>
            <w:r w:rsidRPr="00112C48">
              <w:rPr>
                <w:rFonts w:cstheme="minorHAnsi"/>
                <w:lang w:val="fr-FR"/>
              </w:rPr>
              <w:t xml:space="preserve"> «Mobilisé par l‘USDA» indique que l'investissement a été directement encouragé ou facilité par les activités financées ou les ressources fournies par l'USDA.</w:t>
            </w:r>
          </w:p>
          <w:p w14:paraId="19FF4A99" w14:textId="77777777" w:rsidR="00996983" w:rsidRPr="00112C48" w:rsidRDefault="00996983" w:rsidP="00996983">
            <w:pPr>
              <w:rPr>
                <w:rFonts w:cstheme="minorHAnsi"/>
                <w:lang w:val="fr-FR"/>
              </w:rPr>
            </w:pPr>
            <w:r w:rsidRPr="00112C48">
              <w:rPr>
                <w:rFonts w:cstheme="minorHAnsi"/>
                <w:lang w:val="fr-FR"/>
              </w:rPr>
              <w:t>«Investissements» désigne le niveau des ressources fournies au cours de chaque année de déclaration.</w:t>
            </w:r>
          </w:p>
          <w:p w14:paraId="71DD9E07" w14:textId="77777777" w:rsidR="00996983" w:rsidRPr="00112C48" w:rsidRDefault="00996983" w:rsidP="00996983">
            <w:pPr>
              <w:rPr>
                <w:rFonts w:cstheme="minorHAnsi"/>
                <w:lang w:val="fr-FR"/>
              </w:rPr>
            </w:pPr>
            <w:r w:rsidRPr="00112C48">
              <w:rPr>
                <w:rFonts w:cstheme="minorHAnsi"/>
                <w:lang w:val="fr-FR"/>
              </w:rPr>
              <w:lastRenderedPageBreak/>
              <w:t>Pour les activités pluriannuelles, les engagements sont enregistrés au début de l'activité, s'ils sont pris avant le début de l'activité, ou au cours de l'année où ils sont pris, si les engagements sont reçus lors de la mise en œuvre d'une activité.</w:t>
            </w:r>
          </w:p>
          <w:p w14:paraId="27A618EC" w14:textId="22DA6473" w:rsidR="00996983" w:rsidRPr="00112C48" w:rsidRDefault="00996983" w:rsidP="00996983">
            <w:pPr>
              <w:rPr>
                <w:rFonts w:cstheme="minorHAnsi"/>
                <w:lang w:val="fr-FR"/>
              </w:rPr>
            </w:pPr>
          </w:p>
        </w:tc>
      </w:tr>
      <w:tr w:rsidR="0031610B" w:rsidRPr="00106F8B" w14:paraId="1EBEA93F" w14:textId="77777777" w:rsidTr="0031610B">
        <w:trPr>
          <w:trHeight w:val="546"/>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4D1CCA22" w14:textId="74C35904" w:rsidR="00052B5F" w:rsidRPr="00112C48" w:rsidRDefault="00052B5F" w:rsidP="00052B5F">
            <w:pPr>
              <w:pBdr>
                <w:top w:val="nil"/>
                <w:left w:val="nil"/>
                <w:bottom w:val="nil"/>
                <w:right w:val="nil"/>
                <w:between w:val="nil"/>
              </w:pBdr>
              <w:rPr>
                <w:rFonts w:cstheme="minorHAnsi"/>
                <w:lang w:val="fr-FR"/>
              </w:rPr>
            </w:pPr>
            <w:r w:rsidRPr="00112C48">
              <w:rPr>
                <w:rFonts w:cstheme="minorHAnsi"/>
                <w:lang w:val="fr-FR"/>
              </w:rPr>
              <w:lastRenderedPageBreak/>
              <w:t>Nombre de personnes dans le système agricole ayant mis en œuvre des pratiques ou des technologies de gestion améliorées avec l'aide de l'USDA</w:t>
            </w:r>
          </w:p>
        </w:tc>
        <w:tc>
          <w:tcPr>
            <w:tcW w:w="6925" w:type="dxa"/>
            <w:tcBorders>
              <w:top w:val="nil"/>
              <w:left w:val="nil"/>
              <w:bottom w:val="single" w:sz="4" w:space="0" w:color="auto"/>
              <w:right w:val="single" w:sz="4" w:space="0" w:color="auto"/>
            </w:tcBorders>
            <w:shd w:val="clear" w:color="auto" w:fill="auto"/>
            <w:noWrap/>
          </w:tcPr>
          <w:p w14:paraId="648362A6" w14:textId="6026D075" w:rsidR="0031610B" w:rsidRPr="00112C48" w:rsidRDefault="0031610B" w:rsidP="00F73690">
            <w:pPr>
              <w:rPr>
                <w:rFonts w:cstheme="minorHAnsi"/>
                <w:lang w:val="fr-FR"/>
              </w:rPr>
            </w:pPr>
            <w:r w:rsidRPr="00112C48">
              <w:rPr>
                <w:rFonts w:cstheme="minorHAnsi"/>
                <w:lang w:val="fr-FR"/>
              </w:rPr>
              <w:t xml:space="preserve"> </w:t>
            </w:r>
          </w:p>
          <w:p w14:paraId="47AB3F00" w14:textId="02118E71" w:rsidR="000A7BE8" w:rsidRPr="00112C48" w:rsidRDefault="000A7BE8" w:rsidP="00F73690">
            <w:pPr>
              <w:rPr>
                <w:rFonts w:cstheme="minorHAnsi"/>
                <w:lang w:val="fr-FR"/>
              </w:rPr>
            </w:pPr>
            <w:r w:rsidRPr="00112C48">
              <w:rPr>
                <w:rFonts w:cstheme="minorHAnsi"/>
                <w:lang w:val="fr-FR"/>
              </w:rPr>
              <w:t>Cet indicateur mesure le nombre total d'agriculteurs, d'agents de vulgarisation, d'exportateurs et de prestataires de services participant à des activités financées par l'USDA qui ont mis en œuvre des pratiques de gestion et / ou des technologies améliorées consistant en une formation technique en R&amp;R au cours de l'année considérée. L'indicateur suit les individus qui changent de comportement tout en participant à des activités financées par l'USDA.</w:t>
            </w:r>
          </w:p>
          <w:p w14:paraId="28ACD64A" w14:textId="77777777" w:rsidR="00CA68D5" w:rsidRPr="00112C48" w:rsidRDefault="00CA68D5" w:rsidP="00CA68D5">
            <w:pPr>
              <w:rPr>
                <w:rFonts w:cstheme="minorHAnsi"/>
                <w:lang w:val="fr-FR"/>
              </w:rPr>
            </w:pPr>
          </w:p>
          <w:p w14:paraId="1F6C7484" w14:textId="77777777" w:rsidR="0031610B" w:rsidRPr="00112C48" w:rsidRDefault="0031610B" w:rsidP="00996983">
            <w:pPr>
              <w:rPr>
                <w:rFonts w:cstheme="minorHAnsi"/>
                <w:lang w:val="fr-FR"/>
              </w:rPr>
            </w:pPr>
          </w:p>
        </w:tc>
      </w:tr>
      <w:tr w:rsidR="0031610B" w:rsidRPr="00106F8B" w14:paraId="4527EED7" w14:textId="77777777" w:rsidTr="0031610B">
        <w:trPr>
          <w:trHeight w:val="620"/>
        </w:trPr>
        <w:tc>
          <w:tcPr>
            <w:tcW w:w="3875" w:type="dxa"/>
            <w:tcBorders>
              <w:top w:val="nil"/>
              <w:left w:val="single" w:sz="4" w:space="0" w:color="auto"/>
              <w:bottom w:val="single" w:sz="4" w:space="0" w:color="auto"/>
              <w:right w:val="single" w:sz="4" w:space="0" w:color="auto"/>
            </w:tcBorders>
            <w:shd w:val="clear" w:color="auto" w:fill="auto"/>
          </w:tcPr>
          <w:p w14:paraId="4686C454" w14:textId="77777777" w:rsidR="00052B5F" w:rsidRPr="00112C48" w:rsidRDefault="00052B5F" w:rsidP="00052B5F">
            <w:pPr>
              <w:pBdr>
                <w:top w:val="nil"/>
                <w:left w:val="nil"/>
                <w:bottom w:val="nil"/>
                <w:right w:val="nil"/>
                <w:between w:val="nil"/>
              </w:pBdr>
              <w:rPr>
                <w:rFonts w:cstheme="minorHAnsi"/>
                <w:lang w:val="fr-FR"/>
              </w:rPr>
            </w:pPr>
            <w:r w:rsidRPr="00112C48">
              <w:rPr>
                <w:rFonts w:cstheme="minorHAnsi"/>
                <w:lang w:val="fr-FR"/>
              </w:rPr>
              <w:t>Nombre de plants améliorés vendus par des pépinières et des distributeurs de plants bénéficiant d'une assistance de l'USDA</w:t>
            </w:r>
          </w:p>
          <w:p w14:paraId="136F9FB2" w14:textId="112B9BBC" w:rsidR="00052B5F" w:rsidRPr="00112C48" w:rsidRDefault="00052B5F" w:rsidP="00052B5F">
            <w:pPr>
              <w:pBdr>
                <w:top w:val="nil"/>
                <w:left w:val="nil"/>
                <w:bottom w:val="nil"/>
                <w:right w:val="nil"/>
                <w:between w:val="nil"/>
              </w:pBdr>
              <w:rPr>
                <w:rFonts w:cstheme="minorHAnsi"/>
                <w:lang w:val="fr-FR"/>
              </w:rPr>
            </w:pPr>
          </w:p>
        </w:tc>
        <w:tc>
          <w:tcPr>
            <w:tcW w:w="6925" w:type="dxa"/>
            <w:tcBorders>
              <w:top w:val="nil"/>
              <w:left w:val="nil"/>
              <w:bottom w:val="single" w:sz="4" w:space="0" w:color="auto"/>
              <w:right w:val="single" w:sz="4" w:space="0" w:color="auto"/>
            </w:tcBorders>
            <w:shd w:val="clear" w:color="auto" w:fill="auto"/>
            <w:noWrap/>
          </w:tcPr>
          <w:p w14:paraId="4C17F770" w14:textId="45869A7B" w:rsidR="000A7BE8" w:rsidRPr="00112C48" w:rsidRDefault="000A7BE8" w:rsidP="00F73690">
            <w:pPr>
              <w:rPr>
                <w:rFonts w:cstheme="minorHAnsi"/>
                <w:lang w:val="fr-FR"/>
              </w:rPr>
            </w:pPr>
            <w:r w:rsidRPr="00112C48">
              <w:rPr>
                <w:rFonts w:cstheme="minorHAnsi"/>
                <w:lang w:val="fr-FR"/>
              </w:rPr>
              <w:t>Cet indicateur compte le nombre total de plants améliorés vendus par les pépinières et les distributeurs de plants soutenus par PRO-Cashew. Les semis améliorés comptés ici sont les semis améliorés développés et comptés sous l'indicateur standard FFPr # 9. Les semis sont comptés lorsqu'ils ont été distribués ou vendus par des pépinières et des distributeurs de semis.</w:t>
            </w:r>
          </w:p>
          <w:p w14:paraId="1C2B5350" w14:textId="77777777" w:rsidR="0031610B" w:rsidRPr="00112C48" w:rsidRDefault="0031610B" w:rsidP="00F73690">
            <w:pPr>
              <w:pBdr>
                <w:top w:val="nil"/>
                <w:left w:val="nil"/>
                <w:bottom w:val="nil"/>
                <w:right w:val="nil"/>
                <w:between w:val="nil"/>
              </w:pBdr>
              <w:jc w:val="center"/>
              <w:rPr>
                <w:rFonts w:cstheme="minorHAnsi"/>
                <w:lang w:val="fr-FR"/>
              </w:rPr>
            </w:pPr>
          </w:p>
        </w:tc>
      </w:tr>
      <w:tr w:rsidR="0031610B" w:rsidRPr="00106F8B" w14:paraId="44C46480" w14:textId="77777777" w:rsidTr="0031610B">
        <w:trPr>
          <w:trHeight w:val="421"/>
        </w:trPr>
        <w:tc>
          <w:tcPr>
            <w:tcW w:w="3875" w:type="dxa"/>
            <w:tcBorders>
              <w:top w:val="nil"/>
              <w:left w:val="single" w:sz="4" w:space="0" w:color="auto"/>
              <w:bottom w:val="single" w:sz="4" w:space="0" w:color="auto"/>
              <w:right w:val="single" w:sz="4" w:space="0" w:color="auto"/>
            </w:tcBorders>
            <w:shd w:val="clear" w:color="auto" w:fill="auto"/>
            <w:hideMark/>
          </w:tcPr>
          <w:p w14:paraId="78E23678" w14:textId="77777777" w:rsidR="00BD5D1F" w:rsidRPr="00112C48" w:rsidRDefault="00BD5D1F" w:rsidP="00BD5D1F">
            <w:pPr>
              <w:pBdr>
                <w:top w:val="nil"/>
                <w:left w:val="nil"/>
                <w:bottom w:val="nil"/>
                <w:right w:val="nil"/>
                <w:between w:val="nil"/>
              </w:pBdr>
              <w:rPr>
                <w:rFonts w:cstheme="minorHAnsi"/>
                <w:lang w:val="fr-FR"/>
              </w:rPr>
            </w:pPr>
            <w:r w:rsidRPr="00112C48">
              <w:rPr>
                <w:rFonts w:cstheme="minorHAnsi"/>
                <w:lang w:val="fr-FR"/>
              </w:rPr>
              <w:t>Nombre d'emplois attribués à l'aide de l'USDA</w:t>
            </w:r>
          </w:p>
          <w:p w14:paraId="29D8AFEF" w14:textId="77777777" w:rsidR="00BD5D1F" w:rsidRPr="00112C48" w:rsidRDefault="00BD5D1F" w:rsidP="00F73690">
            <w:pPr>
              <w:pBdr>
                <w:top w:val="nil"/>
                <w:left w:val="nil"/>
                <w:bottom w:val="nil"/>
                <w:right w:val="nil"/>
                <w:between w:val="nil"/>
              </w:pBdr>
              <w:rPr>
                <w:rFonts w:cstheme="minorHAnsi"/>
                <w:lang w:val="fr-FR"/>
              </w:rPr>
            </w:pPr>
          </w:p>
          <w:p w14:paraId="28029296" w14:textId="40712B0C" w:rsidR="0031610B" w:rsidRPr="00112C48" w:rsidRDefault="0031610B" w:rsidP="00F73690">
            <w:pPr>
              <w:pBdr>
                <w:top w:val="nil"/>
                <w:left w:val="nil"/>
                <w:bottom w:val="nil"/>
                <w:right w:val="nil"/>
                <w:between w:val="nil"/>
              </w:pBdr>
              <w:rPr>
                <w:rFonts w:cstheme="minorHAnsi"/>
                <w:lang w:val="fr-FR"/>
              </w:rPr>
            </w:pPr>
            <w:r w:rsidRPr="00112C48">
              <w:rPr>
                <w:rFonts w:cstheme="minorHAnsi"/>
                <w:lang w:val="fr-FR"/>
              </w:rPr>
              <w:t xml:space="preserve">  </w:t>
            </w:r>
          </w:p>
        </w:tc>
        <w:tc>
          <w:tcPr>
            <w:tcW w:w="6925" w:type="dxa"/>
            <w:tcBorders>
              <w:top w:val="nil"/>
              <w:left w:val="nil"/>
              <w:bottom w:val="single" w:sz="4" w:space="0" w:color="auto"/>
              <w:right w:val="single" w:sz="4" w:space="0" w:color="auto"/>
            </w:tcBorders>
            <w:shd w:val="clear" w:color="auto" w:fill="auto"/>
            <w:noWrap/>
          </w:tcPr>
          <w:p w14:paraId="3FE80077" w14:textId="77777777" w:rsidR="000A7BE8" w:rsidRPr="00112C48" w:rsidRDefault="000A7BE8" w:rsidP="000A7BE8">
            <w:pPr>
              <w:rPr>
                <w:rFonts w:cstheme="minorHAnsi"/>
                <w:lang w:val="fr-FR"/>
              </w:rPr>
            </w:pPr>
            <w:r w:rsidRPr="00112C48">
              <w:rPr>
                <w:rFonts w:cstheme="minorHAnsi"/>
                <w:lang w:val="fr-FR"/>
              </w:rPr>
              <w:t>Cet indicateur compte le nombre de membres du groupe d'agriculteurs saisonniers qui adoptent des plants et des prestataires de services agricoles employés grâce au soutien de PRO-Cashew. Les fournisseurs de services agricoles maintiendront leur emploi grâce à la formation des agriculteurs appuyée par PRO-Cashew sur les meilleures pratiques de gestion agricole.</w:t>
            </w:r>
          </w:p>
          <w:p w14:paraId="238F1FD1" w14:textId="5CD65583" w:rsidR="000A7BE8" w:rsidRPr="00112C48" w:rsidRDefault="000A7BE8" w:rsidP="008E6018">
            <w:pPr>
              <w:rPr>
                <w:rFonts w:cstheme="minorHAnsi"/>
                <w:lang w:val="fr-FR"/>
              </w:rPr>
            </w:pPr>
            <w:r w:rsidRPr="00112C48">
              <w:rPr>
                <w:rFonts w:cstheme="minorHAnsi"/>
                <w:lang w:val="fr-FR"/>
              </w:rPr>
              <w:t xml:space="preserve">Les emplois qui durent moins d'un mois ou moins de 20 jours </w:t>
            </w:r>
            <w:r w:rsidR="008E6018" w:rsidRPr="00112C48">
              <w:rPr>
                <w:rFonts w:cstheme="minorHAnsi"/>
                <w:lang w:val="fr-FR"/>
              </w:rPr>
              <w:t>à l’exclusion des week-ends</w:t>
            </w:r>
            <w:r w:rsidRPr="00112C48">
              <w:rPr>
                <w:rFonts w:cstheme="minorHAnsi"/>
                <w:lang w:val="fr-FR"/>
              </w:rPr>
              <w:t xml:space="preserve"> ne sont pas comptabilisés afin de mettre l'accent sur les emplois qui offrent plus de stabilité dans la durée. Cet indicateur compte à la fois l'emploi à temps plein et l'emploi à temps partiel, y compris l'emploi temporaire et saisonnier. Les emplois à temps plein durent au moins 260 jours (</w:t>
            </w:r>
            <w:r w:rsidR="008E6018" w:rsidRPr="00112C48">
              <w:rPr>
                <w:rFonts w:cstheme="minorHAnsi"/>
                <w:lang w:val="fr-FR"/>
              </w:rPr>
              <w:t>à l’exclusion des week-ends</w:t>
            </w:r>
            <w:r w:rsidRPr="00112C48">
              <w:rPr>
                <w:rFonts w:cstheme="minorHAnsi"/>
                <w:lang w:val="fr-FR"/>
              </w:rPr>
              <w:t xml:space="preserve">) ou 12 mois. Les emplois à temps partiel durent entre 21 et 259 jours, </w:t>
            </w:r>
            <w:r w:rsidR="008E6018" w:rsidRPr="00112C48">
              <w:rPr>
                <w:rFonts w:cstheme="minorHAnsi"/>
                <w:lang w:val="fr-FR"/>
              </w:rPr>
              <w:t>à l’exclusion des week-ends</w:t>
            </w:r>
            <w:r w:rsidRPr="00112C48">
              <w:rPr>
                <w:rFonts w:cstheme="minorHAnsi"/>
                <w:lang w:val="fr-FR"/>
              </w:rPr>
              <w:t xml:space="preserve">. Le nombre d'heures </w:t>
            </w:r>
            <w:r w:rsidR="008E6018" w:rsidRPr="00112C48">
              <w:rPr>
                <w:rFonts w:cstheme="minorHAnsi"/>
                <w:lang w:val="fr-FR"/>
              </w:rPr>
              <w:t>de travail</w:t>
            </w:r>
            <w:r w:rsidRPr="00112C48">
              <w:rPr>
                <w:rFonts w:cstheme="minorHAnsi"/>
                <w:lang w:val="fr-FR"/>
              </w:rPr>
              <w:t xml:space="preserve"> par jour ou par semaine n'est pas limité car les heures peuvent varier. Pour être considéré comme un emploi créé, les postes doivent durer plus d'un mois. Chaque emploi créé ne devrait être déclaré </w:t>
            </w:r>
            <w:r w:rsidRPr="00112C48">
              <w:rPr>
                <w:rFonts w:cstheme="minorHAnsi"/>
                <w:lang w:val="fr-FR"/>
              </w:rPr>
              <w:lastRenderedPageBreak/>
              <w:t>qu'une seule fois afin d'ajouter le nombre total d'emplois sur plusieurs années.</w:t>
            </w:r>
          </w:p>
        </w:tc>
      </w:tr>
      <w:tr w:rsidR="00112C48" w:rsidRPr="00106F8B" w14:paraId="5BB05729" w14:textId="77777777" w:rsidTr="0031610B">
        <w:trPr>
          <w:trHeight w:val="413"/>
        </w:trPr>
        <w:tc>
          <w:tcPr>
            <w:tcW w:w="3875" w:type="dxa"/>
            <w:tcBorders>
              <w:top w:val="single" w:sz="4" w:space="0" w:color="auto"/>
              <w:left w:val="single" w:sz="4" w:space="0" w:color="auto"/>
              <w:bottom w:val="single" w:sz="4" w:space="0" w:color="auto"/>
              <w:right w:val="single" w:sz="4" w:space="0" w:color="auto"/>
            </w:tcBorders>
            <w:shd w:val="clear" w:color="auto" w:fill="auto"/>
          </w:tcPr>
          <w:p w14:paraId="5FE36CC6" w14:textId="77777777" w:rsidR="00BD5D1F" w:rsidRPr="00112C48" w:rsidRDefault="00BD5D1F" w:rsidP="00BD5D1F">
            <w:pPr>
              <w:pBdr>
                <w:top w:val="nil"/>
                <w:left w:val="nil"/>
                <w:bottom w:val="nil"/>
                <w:right w:val="nil"/>
                <w:between w:val="nil"/>
              </w:pBdr>
              <w:rPr>
                <w:rFonts w:cstheme="minorHAnsi"/>
                <w:lang w:val="fr-FR"/>
              </w:rPr>
            </w:pPr>
            <w:r w:rsidRPr="00112C48">
              <w:rPr>
                <w:rFonts w:cstheme="minorHAnsi"/>
                <w:lang w:val="fr-FR"/>
              </w:rPr>
              <w:lastRenderedPageBreak/>
              <w:t>Nombre de prêts décaissés grâce à l'aide de l'USDA</w:t>
            </w:r>
          </w:p>
          <w:p w14:paraId="3D505898" w14:textId="77777777" w:rsidR="00BD5D1F" w:rsidRPr="00112C48" w:rsidRDefault="00BD5D1F" w:rsidP="00F73690">
            <w:pPr>
              <w:pBdr>
                <w:top w:val="nil"/>
                <w:left w:val="nil"/>
                <w:bottom w:val="nil"/>
                <w:right w:val="nil"/>
                <w:between w:val="nil"/>
              </w:pBdr>
              <w:rPr>
                <w:rFonts w:cstheme="minorHAnsi"/>
                <w:lang w:val="fr-FR"/>
              </w:rPr>
            </w:pPr>
          </w:p>
        </w:tc>
        <w:tc>
          <w:tcPr>
            <w:tcW w:w="6925" w:type="dxa"/>
            <w:tcBorders>
              <w:top w:val="single" w:sz="4" w:space="0" w:color="auto"/>
              <w:left w:val="nil"/>
              <w:bottom w:val="single" w:sz="4" w:space="0" w:color="auto"/>
              <w:right w:val="single" w:sz="4" w:space="0" w:color="auto"/>
            </w:tcBorders>
            <w:shd w:val="clear" w:color="auto" w:fill="auto"/>
            <w:noWrap/>
          </w:tcPr>
          <w:p w14:paraId="5C4199A6" w14:textId="4D484690" w:rsidR="0031610B" w:rsidRPr="00112C48" w:rsidRDefault="008E6018" w:rsidP="003B7E95">
            <w:pPr>
              <w:rPr>
                <w:rFonts w:cstheme="minorHAnsi"/>
                <w:lang w:val="fr-FR"/>
              </w:rPr>
            </w:pPr>
            <w:r w:rsidRPr="00112C48">
              <w:rPr>
                <w:rFonts w:cstheme="minorHAnsi"/>
                <w:lang w:val="fr-FR"/>
              </w:rPr>
              <w:t xml:space="preserve">Cet indicateur </w:t>
            </w:r>
            <w:r w:rsidR="003B7E95" w:rsidRPr="00112C48">
              <w:rPr>
                <w:rFonts w:cstheme="minorHAnsi"/>
                <w:lang w:val="fr-FR"/>
              </w:rPr>
              <w:t xml:space="preserve">illustre </w:t>
            </w:r>
            <w:r w:rsidRPr="00112C48">
              <w:rPr>
                <w:rFonts w:cstheme="minorHAnsi"/>
                <w:lang w:val="fr-FR"/>
              </w:rPr>
              <w:t>le nombre de prêts décaissés aux organisations d'agriculteurs, aux pépinières et aux prestataires de services de R&amp;R au cours de l'année de déclaration grâce à l'aide de l'USDA.</w:t>
            </w:r>
            <w:r w:rsidR="003B7E95" w:rsidRPr="00112C48">
              <w:rPr>
                <w:rFonts w:cstheme="minorHAnsi"/>
                <w:lang w:val="fr-FR"/>
              </w:rPr>
              <w:t xml:space="preserve"> </w:t>
            </w:r>
            <w:r w:rsidRPr="00112C48">
              <w:rPr>
                <w:rFonts w:cstheme="minorHAnsi"/>
                <w:lang w:val="fr-FR"/>
              </w:rPr>
              <w:t>Il comprend les prêts aux agriculteurs pour le fonds de roulement et les prêts aux prestataires de services pour l'équipement de R&amp;R. Comptez les prêts en espèces et la valeur des prêts en nature. Pour les prêts en espèces, ne comptez que les prêts accordés par des institutions financières et non par des groupes informels tels que l'épargne villageoise et les groupes de prêt qui ne sont pas officiellement enregistrés en tant qu'institution financière. Les prêts comptabilisés peuvent être accordés par n'importe quelle institution financière.</w:t>
            </w:r>
          </w:p>
        </w:tc>
      </w:tr>
      <w:tr w:rsidR="00112C48" w:rsidRPr="00106F8B" w14:paraId="1F76D364" w14:textId="77777777" w:rsidTr="0031610B">
        <w:trPr>
          <w:trHeight w:val="547"/>
        </w:trPr>
        <w:tc>
          <w:tcPr>
            <w:tcW w:w="3875" w:type="dxa"/>
            <w:tcBorders>
              <w:top w:val="single" w:sz="4" w:space="0" w:color="auto"/>
              <w:left w:val="single" w:sz="4" w:space="0" w:color="auto"/>
              <w:bottom w:val="single" w:sz="4" w:space="0" w:color="auto"/>
              <w:right w:val="single" w:sz="4" w:space="0" w:color="auto"/>
            </w:tcBorders>
            <w:shd w:val="clear" w:color="auto" w:fill="auto"/>
          </w:tcPr>
          <w:p w14:paraId="170CA247" w14:textId="1C5D5F3D" w:rsidR="00BD5D1F" w:rsidRPr="00112C48" w:rsidRDefault="00BD5D1F" w:rsidP="00F73690">
            <w:pPr>
              <w:pBdr>
                <w:top w:val="nil"/>
                <w:left w:val="nil"/>
                <w:bottom w:val="nil"/>
                <w:right w:val="nil"/>
                <w:between w:val="nil"/>
              </w:pBdr>
              <w:tabs>
                <w:tab w:val="left" w:pos="2295"/>
              </w:tabs>
              <w:rPr>
                <w:rFonts w:cstheme="minorHAnsi"/>
                <w:lang w:val="fr-FR"/>
              </w:rPr>
            </w:pPr>
            <w:r w:rsidRPr="00112C48">
              <w:rPr>
                <w:rFonts w:cstheme="minorHAnsi"/>
                <w:lang w:val="fr-FR"/>
              </w:rPr>
              <w:t>Valeur du financement lié à l'agriculture obtenu grâce à l'aide de l'USDA</w:t>
            </w:r>
          </w:p>
        </w:tc>
        <w:tc>
          <w:tcPr>
            <w:tcW w:w="6925" w:type="dxa"/>
            <w:tcBorders>
              <w:top w:val="single" w:sz="4" w:space="0" w:color="auto"/>
              <w:left w:val="nil"/>
              <w:bottom w:val="single" w:sz="4" w:space="0" w:color="auto"/>
              <w:right w:val="single" w:sz="4" w:space="0" w:color="auto"/>
            </w:tcBorders>
            <w:shd w:val="clear" w:color="auto" w:fill="auto"/>
            <w:noWrap/>
          </w:tcPr>
          <w:p w14:paraId="68C7EB49" w14:textId="515056B6" w:rsidR="0031610B" w:rsidRPr="00112C48" w:rsidRDefault="0031610B" w:rsidP="0031610B">
            <w:pPr>
              <w:rPr>
                <w:rFonts w:cstheme="minorHAnsi"/>
                <w:lang w:val="fr-FR"/>
              </w:rPr>
            </w:pPr>
          </w:p>
          <w:p w14:paraId="36D83505" w14:textId="46840212" w:rsidR="003B7E95" w:rsidRPr="00112C48" w:rsidRDefault="003B7E95" w:rsidP="007A2076">
            <w:pPr>
              <w:rPr>
                <w:rFonts w:cstheme="minorHAnsi"/>
                <w:lang w:val="fr-FR"/>
              </w:rPr>
            </w:pPr>
            <w:r w:rsidRPr="00112C48">
              <w:rPr>
                <w:rFonts w:cstheme="minorHAnsi"/>
                <w:lang w:val="fr-FR"/>
              </w:rPr>
              <w:t xml:space="preserve">Cet indicateur résume la valeur totale en Dollars Américains de la dette (aussi bien en espèces qu’en nature) et le financement hors dette décaissé aux organisations d'agriculteurs, aux pépinières et aux prestataires de services de R&amp;R au cours de l'année de référence grâce à l'aide de l'USDA. Cela comprend les prêts aux agriculteurs pour le fonds de roulement et les prêts aux prestataires de services pour l'équipement de R&amp;R. Dette: comptez les prêts en espèces et la valeur des prêts en nature. Pour les prêts en espèces, ne comptez que les prêts accordés par des institutions financières et non par des groupes informels tels que l'épargne villageoise et les groupes de prêt qui ne sont pas officiellement enregistrés en tant qu'institution financière. Cependant, les prêts comptabilisés peuvent être accordés par des institutions financières de toute taille, des institutions de microfinance aux banques commerciales nationales, ainsi qu'à toutes les institutions financières sans dépôt et à d'autres types d'ONG financières. Pour les prêts en nature, l'USDA peut faciliter les prêts en nature d'intrants (par exemple, engrais, semences) ou l'utilisation d'équipement (par exemple tracteur, charrue) via des partenaires de mise en œuvre ou des partenariats. Non-dette: compter tout financement reçu autre que des </w:t>
            </w:r>
            <w:r w:rsidR="007A2076" w:rsidRPr="00112C48">
              <w:rPr>
                <w:rFonts w:cstheme="minorHAnsi"/>
                <w:lang w:val="fr-FR"/>
              </w:rPr>
              <w:t>emprunts</w:t>
            </w:r>
            <w:r w:rsidRPr="00112C48">
              <w:rPr>
                <w:rFonts w:cstheme="minorHAnsi"/>
                <w:lang w:val="fr-FR"/>
              </w:rPr>
              <w:t xml:space="preserve"> en espèces et </w:t>
            </w:r>
            <w:r w:rsidR="007A2076" w:rsidRPr="00112C48">
              <w:rPr>
                <w:rFonts w:cstheme="minorHAnsi"/>
                <w:lang w:val="fr-FR"/>
              </w:rPr>
              <w:t xml:space="preserve">des prêts </w:t>
            </w:r>
            <w:r w:rsidRPr="00112C48">
              <w:rPr>
                <w:rFonts w:cstheme="minorHAnsi"/>
                <w:lang w:val="fr-FR"/>
              </w:rPr>
              <w:t>en nature.</w:t>
            </w:r>
          </w:p>
        </w:tc>
      </w:tr>
      <w:bookmarkEnd w:id="0"/>
    </w:tbl>
    <w:p w14:paraId="5BCC7DCE" w14:textId="77777777" w:rsidR="0031610B" w:rsidRPr="00112C48" w:rsidRDefault="0031610B">
      <w:pPr>
        <w:rPr>
          <w:lang w:val="fr-FR"/>
        </w:rPr>
      </w:pPr>
    </w:p>
    <w:sectPr w:rsidR="0031610B" w:rsidRPr="00112C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9272" w14:textId="77777777" w:rsidR="00835E00" w:rsidRDefault="00835E00" w:rsidP="00D12B45">
      <w:pPr>
        <w:spacing w:after="0" w:line="240" w:lineRule="auto"/>
      </w:pPr>
      <w:r>
        <w:separator/>
      </w:r>
    </w:p>
  </w:endnote>
  <w:endnote w:type="continuationSeparator" w:id="0">
    <w:p w14:paraId="598485C7" w14:textId="77777777" w:rsidR="00835E00" w:rsidRDefault="00835E00" w:rsidP="00D1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EBD2" w14:textId="77777777" w:rsidR="00835E00" w:rsidRDefault="00835E00" w:rsidP="00D12B45">
      <w:pPr>
        <w:spacing w:after="0" w:line="240" w:lineRule="auto"/>
      </w:pPr>
      <w:r>
        <w:separator/>
      </w:r>
    </w:p>
  </w:footnote>
  <w:footnote w:type="continuationSeparator" w:id="0">
    <w:p w14:paraId="3A13C1F9" w14:textId="77777777" w:rsidR="00835E00" w:rsidRDefault="00835E00" w:rsidP="00D12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E150" w14:textId="04F5572D" w:rsidR="00D12B45" w:rsidRDefault="00D12B45">
    <w:pPr>
      <w:pStyle w:val="Header"/>
    </w:pPr>
    <w:r w:rsidRPr="00D12B45">
      <w:rPr>
        <w:noProof/>
      </w:rPr>
      <w:drawing>
        <wp:anchor distT="0" distB="0" distL="114300" distR="114300" simplePos="0" relativeHeight="251659264" behindDoc="0" locked="0" layoutInCell="1" allowOverlap="1" wp14:anchorId="00E20473" wp14:editId="51FAF0AF">
          <wp:simplePos x="0" y="0"/>
          <wp:positionH relativeFrom="leftMargin">
            <wp:posOffset>76881</wp:posOffset>
          </wp:positionH>
          <wp:positionV relativeFrom="paragraph">
            <wp:posOffset>-401955</wp:posOffset>
          </wp:positionV>
          <wp:extent cx="975360" cy="746646"/>
          <wp:effectExtent l="0" t="0" r="0" b="0"/>
          <wp:wrapNone/>
          <wp:docPr id="37" name="Picture 37">
            <a:extLst xmlns:a="http://schemas.openxmlformats.org/drawingml/2006/main">
              <a:ext uri="{FF2B5EF4-FFF2-40B4-BE49-F238E27FC236}">
                <a16:creationId xmlns:a16="http://schemas.microsoft.com/office/drawing/2014/main" id="{3BD5A8F6-8A27-4751-8090-2E2412458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BD5A8F6-8A27-4751-8090-2E24124585D5}"/>
                      </a:ext>
                    </a:extLst>
                  </pic:cNvPr>
                  <pic:cNvPicPr>
                    <a:picLocks noChangeAspect="1"/>
                  </pic:cNvPicPr>
                </pic:nvPicPr>
                <pic:blipFill>
                  <a:blip r:embed="rId1"/>
                  <a:stretch>
                    <a:fillRect/>
                  </a:stretch>
                </pic:blipFill>
                <pic:spPr>
                  <a:xfrm>
                    <a:off x="0" y="0"/>
                    <a:ext cx="975360" cy="746646"/>
                  </a:xfrm>
                  <a:prstGeom prst="rect">
                    <a:avLst/>
                  </a:prstGeom>
                </pic:spPr>
              </pic:pic>
            </a:graphicData>
          </a:graphic>
          <wp14:sizeRelH relativeFrom="margin">
            <wp14:pctWidth>0</wp14:pctWidth>
          </wp14:sizeRelH>
          <wp14:sizeRelV relativeFrom="margin">
            <wp14:pctHeight>0</wp14:pctHeight>
          </wp14:sizeRelV>
        </wp:anchor>
      </w:drawing>
    </w:r>
    <w:r w:rsidRPr="00D12B45">
      <w:rPr>
        <w:noProof/>
      </w:rPr>
      <w:drawing>
        <wp:anchor distT="0" distB="0" distL="114300" distR="114300" simplePos="0" relativeHeight="251660288" behindDoc="0" locked="0" layoutInCell="1" allowOverlap="1" wp14:anchorId="724F4C78" wp14:editId="2968501A">
          <wp:simplePos x="0" y="0"/>
          <wp:positionH relativeFrom="column">
            <wp:posOffset>5168900</wp:posOffset>
          </wp:positionH>
          <wp:positionV relativeFrom="paragraph">
            <wp:posOffset>-395605</wp:posOffset>
          </wp:positionV>
          <wp:extent cx="1645920" cy="7035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FA_LogoTag_Lockup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703580"/>
                  </a:xfrm>
                  <a:prstGeom prst="rect">
                    <a:avLst/>
                  </a:prstGeom>
                </pic:spPr>
              </pic:pic>
            </a:graphicData>
          </a:graphic>
          <wp14:sizeRelH relativeFrom="margin">
            <wp14:pctWidth>0</wp14:pctWidth>
          </wp14:sizeRelH>
          <wp14:sizeRelV relativeFrom="margin">
            <wp14:pctHeight>0</wp14:pctHeight>
          </wp14:sizeRelV>
        </wp:anchor>
      </w:drawing>
    </w:r>
  </w:p>
  <w:p w14:paraId="71348BB5" w14:textId="77777777" w:rsidR="00D12B45" w:rsidRDefault="00D12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0B"/>
    <w:rsid w:val="00052B5F"/>
    <w:rsid w:val="000A7BE8"/>
    <w:rsid w:val="00106F8B"/>
    <w:rsid w:val="00112C48"/>
    <w:rsid w:val="002742EF"/>
    <w:rsid w:val="003148C2"/>
    <w:rsid w:val="0031610B"/>
    <w:rsid w:val="003B7E95"/>
    <w:rsid w:val="00477B1D"/>
    <w:rsid w:val="00525024"/>
    <w:rsid w:val="005F353B"/>
    <w:rsid w:val="00645C63"/>
    <w:rsid w:val="006601A0"/>
    <w:rsid w:val="0071050F"/>
    <w:rsid w:val="007A2076"/>
    <w:rsid w:val="00835E00"/>
    <w:rsid w:val="00850C50"/>
    <w:rsid w:val="008E6018"/>
    <w:rsid w:val="00996983"/>
    <w:rsid w:val="00A172EC"/>
    <w:rsid w:val="00A26C5B"/>
    <w:rsid w:val="00BD5D1F"/>
    <w:rsid w:val="00C22A7B"/>
    <w:rsid w:val="00CA68D5"/>
    <w:rsid w:val="00CF01D3"/>
    <w:rsid w:val="00CF61F6"/>
    <w:rsid w:val="00D12B45"/>
    <w:rsid w:val="00D60A40"/>
    <w:rsid w:val="00EF1B82"/>
    <w:rsid w:val="00F95150"/>
    <w:rsid w:val="00FC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9929"/>
  <w15:chartTrackingRefBased/>
  <w15:docId w15:val="{18654036-C0BE-4745-9F82-CC151A5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0B"/>
    <w:rPr>
      <w:rFonts w:ascii="Segoe UI" w:hAnsi="Segoe UI" w:cs="Segoe UI"/>
      <w:sz w:val="18"/>
      <w:szCs w:val="18"/>
    </w:rPr>
  </w:style>
  <w:style w:type="paragraph" w:styleId="Header">
    <w:name w:val="header"/>
    <w:basedOn w:val="Normal"/>
    <w:link w:val="HeaderChar"/>
    <w:uiPriority w:val="99"/>
    <w:unhideWhenUsed/>
    <w:rsid w:val="00D12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45"/>
  </w:style>
  <w:style w:type="paragraph" w:styleId="Footer">
    <w:name w:val="footer"/>
    <w:basedOn w:val="Normal"/>
    <w:link w:val="FooterChar"/>
    <w:uiPriority w:val="99"/>
    <w:unhideWhenUsed/>
    <w:rsid w:val="00D12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Elebthel Gebrehiwot</dc:creator>
  <cp:keywords/>
  <dc:description/>
  <cp:lastModifiedBy>Jean Francois Guay</cp:lastModifiedBy>
  <cp:revision>2</cp:revision>
  <dcterms:created xsi:type="dcterms:W3CDTF">2020-07-15T08:32:00Z</dcterms:created>
  <dcterms:modified xsi:type="dcterms:W3CDTF">2020-07-15T08:32:00Z</dcterms:modified>
</cp:coreProperties>
</file>